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1"/>
        <w:tblW w:w="4899" w:type="pct"/>
        <w:tblInd w:w="112" w:type="dxa"/>
        <w:tblLayout w:type="fixed"/>
        <w:tblLook w:val="04A0" w:firstRow="1" w:lastRow="0" w:firstColumn="1" w:lastColumn="0" w:noHBand="0" w:noVBand="1"/>
      </w:tblPr>
      <w:tblGrid>
        <w:gridCol w:w="1443"/>
        <w:gridCol w:w="1634"/>
        <w:gridCol w:w="1626"/>
        <w:gridCol w:w="1569"/>
        <w:gridCol w:w="945"/>
        <w:gridCol w:w="3328"/>
      </w:tblGrid>
      <w:tr w:rsidR="0080140C" w:rsidRPr="00501595" w14:paraId="2F3F76C4" w14:textId="77777777" w:rsidTr="00C17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2" w:type="pct"/>
            <w:gridSpan w:val="5"/>
            <w:shd w:val="clear" w:color="auto" w:fill="auto"/>
          </w:tcPr>
          <w:p w14:paraId="1BE9E8BA" w14:textId="091E72BA" w:rsidR="0080140C" w:rsidRPr="00B37A23" w:rsidRDefault="004A441C" w:rsidP="00A450EB">
            <w:pPr>
              <w:rPr>
                <w:szCs w:val="22"/>
              </w:rPr>
            </w:pPr>
            <w:r>
              <w:rPr>
                <w:szCs w:val="22"/>
              </w:rPr>
              <w:t>OTGA</w:t>
            </w:r>
            <w:r w:rsidR="009C45F8">
              <w:rPr>
                <w:szCs w:val="22"/>
              </w:rPr>
              <w:t xml:space="preserve"> </w:t>
            </w:r>
            <w:r w:rsidR="0080140C" w:rsidRPr="00B37A23">
              <w:rPr>
                <w:szCs w:val="22"/>
              </w:rPr>
              <w:t>Competency Assessment Form</w:t>
            </w:r>
          </w:p>
          <w:p w14:paraId="44A8F21B" w14:textId="77777777" w:rsidR="00601F06" w:rsidRDefault="0080140C" w:rsidP="00601F06">
            <w:pPr>
              <w:ind w:firstLine="284"/>
              <w:rPr>
                <w:bCs w:val="0"/>
                <w:sz w:val="20"/>
                <w:szCs w:val="20"/>
                <w:lang w:val="en-AU"/>
              </w:rPr>
            </w:pPr>
            <w:r w:rsidRPr="00B37A23">
              <w:rPr>
                <w:b w:val="0"/>
                <w:sz w:val="20"/>
                <w:szCs w:val="20"/>
                <w:lang w:val="en-AU"/>
              </w:rPr>
              <w:t xml:space="preserve">The competency framework for personnel involved in providing learning services for the </w:t>
            </w:r>
            <w:proofErr w:type="spellStart"/>
            <w:r w:rsidR="00601F06">
              <w:rPr>
                <w:b w:val="0"/>
                <w:sz w:val="20"/>
                <w:szCs w:val="20"/>
                <w:lang w:val="en-AU"/>
              </w:rPr>
              <w:t>OceanTeacher</w:t>
            </w:r>
            <w:proofErr w:type="spellEnd"/>
            <w:r w:rsidR="00601F06">
              <w:rPr>
                <w:b w:val="0"/>
                <w:sz w:val="20"/>
                <w:szCs w:val="20"/>
                <w:lang w:val="en-AU"/>
              </w:rPr>
              <w:t xml:space="preserve"> Global Academy</w:t>
            </w:r>
            <w:r w:rsidRPr="00B37A23">
              <w:rPr>
                <w:b w:val="0"/>
                <w:sz w:val="20"/>
                <w:szCs w:val="20"/>
                <w:lang w:val="en-AU"/>
              </w:rPr>
              <w:t xml:space="preserve"> is structured around </w:t>
            </w:r>
            <w:r w:rsidR="00601F06">
              <w:rPr>
                <w:b w:val="0"/>
                <w:sz w:val="20"/>
                <w:szCs w:val="20"/>
                <w:lang w:val="en-AU"/>
              </w:rPr>
              <w:t>two</w:t>
            </w:r>
            <w:r w:rsidRPr="00B37A23">
              <w:rPr>
                <w:b w:val="0"/>
                <w:sz w:val="20"/>
                <w:szCs w:val="20"/>
                <w:lang w:val="en-AU"/>
              </w:rPr>
              <w:t xml:space="preserve"> core competences. </w:t>
            </w:r>
            <w:r w:rsidRPr="00B37A23">
              <w:rPr>
                <w:b w:val="0"/>
                <w:sz w:val="20"/>
                <w:szCs w:val="20"/>
                <w:lang w:val="en-AU" w:eastAsia="en-AU"/>
              </w:rPr>
              <w:t>Facilitators directly responsible for the delivery of a</w:t>
            </w:r>
            <w:r w:rsidR="00601F06">
              <w:rPr>
                <w:b w:val="0"/>
                <w:sz w:val="20"/>
                <w:szCs w:val="20"/>
                <w:lang w:val="en-AU" w:eastAsia="en-AU"/>
              </w:rPr>
              <w:t>n OTGA</w:t>
            </w:r>
            <w:r w:rsidRPr="00B37A23">
              <w:rPr>
                <w:b w:val="0"/>
                <w:sz w:val="20"/>
                <w:szCs w:val="20"/>
                <w:lang w:val="en-AU" w:eastAsia="en-AU"/>
              </w:rPr>
              <w:t xml:space="preserve"> learning event s</w:t>
            </w:r>
            <w:r w:rsidRPr="00B37A23">
              <w:rPr>
                <w:b w:val="0"/>
                <w:sz w:val="20"/>
                <w:szCs w:val="20"/>
                <w:lang w:val="en-AU"/>
              </w:rPr>
              <w:t xml:space="preserve">hould meet </w:t>
            </w:r>
            <w:r w:rsidRPr="00B37A23">
              <w:rPr>
                <w:sz w:val="20"/>
                <w:szCs w:val="20"/>
                <w:lang w:val="en-AU"/>
              </w:rPr>
              <w:t>Core Competences A and B</w:t>
            </w:r>
            <w:r w:rsidRPr="00B37A23">
              <w:rPr>
                <w:b w:val="0"/>
                <w:sz w:val="20"/>
                <w:szCs w:val="20"/>
                <w:lang w:val="en-AU"/>
              </w:rPr>
              <w:t xml:space="preserve">. </w:t>
            </w:r>
          </w:p>
          <w:p w14:paraId="348CAA81" w14:textId="02A66623" w:rsidR="0080140C" w:rsidRPr="00501595" w:rsidRDefault="0080140C" w:rsidP="004A441C">
            <w:pPr>
              <w:spacing w:after="120"/>
              <w:ind w:firstLine="284"/>
              <w:rPr>
                <w:b w:val="0"/>
                <w:bCs w:val="0"/>
                <w:szCs w:val="22"/>
              </w:rPr>
            </w:pPr>
            <w:r w:rsidRPr="00B37A23">
              <w:rPr>
                <w:b w:val="0"/>
                <w:sz w:val="20"/>
                <w:szCs w:val="20"/>
                <w:lang w:val="en-AU"/>
              </w:rPr>
              <w:t>Evaluation of competences requires assessment based on the key qualifications and experience</w:t>
            </w:r>
            <w:r w:rsidRPr="00B37A23">
              <w:rPr>
                <w:b w:val="0"/>
                <w:sz w:val="20"/>
                <w:szCs w:val="20"/>
              </w:rPr>
              <w:t>. Complete th</w:t>
            </w:r>
            <w:r w:rsidR="000365C1">
              <w:rPr>
                <w:b w:val="0"/>
                <w:sz w:val="20"/>
                <w:szCs w:val="20"/>
              </w:rPr>
              <w:t>is</w:t>
            </w:r>
            <w:r w:rsidRPr="00B37A23">
              <w:rPr>
                <w:b w:val="0"/>
                <w:sz w:val="20"/>
                <w:szCs w:val="20"/>
              </w:rPr>
              <w:t xml:space="preserve"> </w:t>
            </w:r>
            <w:r w:rsidRPr="00B37A23">
              <w:rPr>
                <w:sz w:val="20"/>
                <w:szCs w:val="20"/>
              </w:rPr>
              <w:t>Competency Assessment</w:t>
            </w:r>
            <w:r w:rsidR="000365C1">
              <w:rPr>
                <w:sz w:val="20"/>
                <w:szCs w:val="20"/>
              </w:rPr>
              <w:t xml:space="preserve"> Form</w:t>
            </w:r>
            <w:r w:rsidRPr="00B37A23">
              <w:rPr>
                <w:b w:val="0"/>
                <w:sz w:val="20"/>
                <w:szCs w:val="20"/>
              </w:rPr>
              <w:t xml:space="preserve"> indicating how you meet the Core Competences</w:t>
            </w:r>
            <w:r w:rsidR="007A285D">
              <w:rPr>
                <w:b w:val="0"/>
                <w:sz w:val="20"/>
                <w:szCs w:val="20"/>
              </w:rPr>
              <w:t xml:space="preserve"> then </w:t>
            </w:r>
            <w:r w:rsidR="00C3388F">
              <w:rPr>
                <w:b w:val="0"/>
                <w:sz w:val="20"/>
                <w:szCs w:val="20"/>
              </w:rPr>
              <w:t>submit</w:t>
            </w:r>
            <w:r w:rsidR="007A285D">
              <w:rPr>
                <w:b w:val="0"/>
                <w:sz w:val="20"/>
                <w:szCs w:val="20"/>
              </w:rPr>
              <w:t xml:space="preserve"> to </w:t>
            </w:r>
            <w:r w:rsidR="00C3388F">
              <w:rPr>
                <w:b w:val="0"/>
                <w:sz w:val="20"/>
                <w:szCs w:val="20"/>
              </w:rPr>
              <w:t>the OTGA Coordinator (</w:t>
            </w:r>
            <w:hyperlink r:id="rId7" w:history="1">
              <w:r w:rsidR="00C3388F" w:rsidRPr="005F06B3">
                <w:rPr>
                  <w:rStyle w:val="Hyperlink"/>
                  <w:b w:val="0"/>
                  <w:sz w:val="20"/>
                  <w:szCs w:val="20"/>
                </w:rPr>
                <w:t>ioc.training@unesco.org</w:t>
              </w:r>
            </w:hyperlink>
            <w:r w:rsidR="00C3388F" w:rsidRPr="005F06B3">
              <w:rPr>
                <w:b w:val="0"/>
                <w:sz w:val="20"/>
                <w:szCs w:val="20"/>
              </w:rPr>
              <w:t>)</w:t>
            </w:r>
            <w:r w:rsidR="007A285D">
              <w:rPr>
                <w:b w:val="0"/>
                <w:sz w:val="20"/>
                <w:szCs w:val="20"/>
              </w:rPr>
              <w:t>.</w:t>
            </w:r>
          </w:p>
        </w:tc>
        <w:tc>
          <w:tcPr>
            <w:tcW w:w="1578" w:type="pct"/>
            <w:shd w:val="clear" w:color="auto" w:fill="auto"/>
          </w:tcPr>
          <w:p w14:paraId="1375D62E" w14:textId="77777777" w:rsidR="0080140C" w:rsidRDefault="0080140C" w:rsidP="00A450EB">
            <w:pPr>
              <w:jc w:val="center"/>
              <w:cnfStyle w:val="100000000000" w:firstRow="1" w:lastRow="0" w:firstColumn="0" w:lastColumn="0" w:oddVBand="0" w:evenVBand="0" w:oddHBand="0" w:evenHBand="0" w:firstRowFirstColumn="0" w:firstRowLastColumn="0" w:lastRowFirstColumn="0" w:lastRowLastColumn="0"/>
              <w:rPr>
                <w:szCs w:val="22"/>
              </w:rPr>
            </w:pPr>
          </w:p>
          <w:p w14:paraId="1D8C6D07" w14:textId="1215FE37" w:rsidR="004A441C" w:rsidRPr="004A441C" w:rsidRDefault="00C3388F" w:rsidP="004A441C">
            <w:pPr>
              <w:jc w:val="both"/>
              <w:cnfStyle w:val="100000000000" w:firstRow="1" w:lastRow="0" w:firstColumn="0" w:lastColumn="0" w:oddVBand="0" w:evenVBand="0" w:oddHBand="0" w:evenHBand="0" w:firstRowFirstColumn="0" w:firstRowLastColumn="0" w:lastRowFirstColumn="0" w:lastRowLastColumn="0"/>
              <w:rPr>
                <w:b w:val="0"/>
                <w:bCs w:val="0"/>
                <w:szCs w:val="22"/>
              </w:rPr>
            </w:pPr>
            <w:r>
              <w:rPr>
                <w:noProof/>
                <w:szCs w:val="22"/>
              </w:rPr>
              <w:drawing>
                <wp:inline distT="0" distB="0" distL="0" distR="0" wp14:anchorId="67AAD9D3" wp14:editId="43463EEC">
                  <wp:extent cx="2091696" cy="1039906"/>
                  <wp:effectExtent l="0" t="0" r="0" b="0"/>
                  <wp:docPr id="1420655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55623" name="Picture 14206556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385" cy="1057649"/>
                          </a:xfrm>
                          <a:prstGeom prst="rect">
                            <a:avLst/>
                          </a:prstGeom>
                        </pic:spPr>
                      </pic:pic>
                    </a:graphicData>
                  </a:graphic>
                </wp:inline>
              </w:drawing>
            </w:r>
          </w:p>
        </w:tc>
      </w:tr>
      <w:tr w:rsidR="00C3388F" w:rsidRPr="00F2192F" w14:paraId="7D6A3049" w14:textId="77777777" w:rsidTr="00601F06">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350D2CB4" w14:textId="638D1FCF" w:rsidR="00C3388F" w:rsidRPr="00714E1B" w:rsidRDefault="00C3388F" w:rsidP="002E6B46">
            <w:pPr>
              <w:spacing w:before="120"/>
              <w:rPr>
                <w:iCs/>
                <w:sz w:val="20"/>
                <w:szCs w:val="20"/>
              </w:rPr>
            </w:pPr>
            <w:r w:rsidRPr="002E6B46">
              <w:rPr>
                <w:i/>
                <w:sz w:val="20"/>
                <w:szCs w:val="20"/>
              </w:rPr>
              <w:t>Name:</w:t>
            </w:r>
            <w:r w:rsidR="004A441C">
              <w:rPr>
                <w:i/>
                <w:sz w:val="20"/>
                <w:szCs w:val="20"/>
              </w:rPr>
              <w:t xml:space="preserve"> </w:t>
            </w:r>
          </w:p>
          <w:p w14:paraId="5578C93C" w14:textId="011A3D8F" w:rsidR="00C3388F" w:rsidRPr="00714E1B" w:rsidRDefault="00C3388F" w:rsidP="002E6B46">
            <w:pPr>
              <w:spacing w:before="120"/>
              <w:rPr>
                <w:iCs/>
                <w:sz w:val="20"/>
                <w:szCs w:val="20"/>
              </w:rPr>
            </w:pPr>
            <w:r w:rsidRPr="002E6B46">
              <w:rPr>
                <w:i/>
                <w:sz w:val="20"/>
                <w:szCs w:val="20"/>
              </w:rPr>
              <w:t xml:space="preserve">Date: </w:t>
            </w:r>
          </w:p>
          <w:p w14:paraId="0B242B8C" w14:textId="77777777" w:rsidR="00C3388F" w:rsidRPr="00714E1B" w:rsidRDefault="00C3388F" w:rsidP="00601F06">
            <w:pPr>
              <w:spacing w:before="120" w:after="120"/>
              <w:rPr>
                <w:b w:val="0"/>
                <w:bCs w:val="0"/>
                <w:iCs/>
                <w:sz w:val="20"/>
                <w:szCs w:val="20"/>
              </w:rPr>
            </w:pPr>
            <w:r w:rsidRPr="002E6B46">
              <w:rPr>
                <w:i/>
                <w:sz w:val="20"/>
                <w:szCs w:val="20"/>
              </w:rPr>
              <w:t>Affiliation:</w:t>
            </w:r>
            <w:r w:rsidR="004A441C">
              <w:rPr>
                <w:i/>
                <w:sz w:val="20"/>
                <w:szCs w:val="20"/>
              </w:rPr>
              <w:t xml:space="preserve"> </w:t>
            </w:r>
          </w:p>
          <w:p w14:paraId="5C1DC70D" w14:textId="7247922D" w:rsidR="00714E1B" w:rsidRPr="008D56F0" w:rsidRDefault="00714E1B" w:rsidP="00601F06">
            <w:pPr>
              <w:spacing w:before="120" w:after="120"/>
              <w:rPr>
                <w:iCs/>
                <w:sz w:val="20"/>
                <w:szCs w:val="20"/>
                <w:lang w:val="en-BE"/>
              </w:rPr>
            </w:pPr>
            <w:r>
              <w:rPr>
                <w:i/>
                <w:sz w:val="20"/>
                <w:szCs w:val="20"/>
              </w:rPr>
              <w:t>Training Course (Name/Date):</w:t>
            </w:r>
            <w:r w:rsidRPr="00714E1B">
              <w:rPr>
                <w:iCs/>
                <w:sz w:val="20"/>
                <w:szCs w:val="20"/>
              </w:rPr>
              <w:t xml:space="preserve"> </w:t>
            </w:r>
            <w:r>
              <w:rPr>
                <w:iCs/>
                <w:sz w:val="20"/>
                <w:szCs w:val="20"/>
              </w:rPr>
              <w:t xml:space="preserve"> </w:t>
            </w:r>
            <w:r w:rsidR="008D56F0" w:rsidRPr="008D56F0">
              <w:rPr>
                <w:b w:val="0"/>
                <w:bCs w:val="0"/>
                <w:iCs/>
                <w:sz w:val="20"/>
                <w:szCs w:val="20"/>
                <w:highlight w:val="yellow"/>
                <w:lang w:val="en-BE"/>
              </w:rPr>
              <w:t>ADAPT Curso de formación sobre mejores prácticas oceánicas</w:t>
            </w:r>
            <w:r w:rsidR="008D56F0" w:rsidRPr="008D56F0">
              <w:rPr>
                <w:b w:val="0"/>
                <w:bCs w:val="0"/>
                <w:iCs/>
                <w:sz w:val="20"/>
                <w:szCs w:val="20"/>
                <w:highlight w:val="yellow"/>
                <w:lang w:val="en-BE"/>
              </w:rPr>
              <w:t>/28 April to 02 May 2025</w:t>
            </w:r>
          </w:p>
        </w:tc>
      </w:tr>
      <w:tr w:rsidR="0080140C" w:rsidRPr="00B37A23" w14:paraId="37DA2E56" w14:textId="77777777" w:rsidTr="00714E1B">
        <w:tc>
          <w:tcPr>
            <w:cnfStyle w:val="001000000000" w:firstRow="0" w:lastRow="0" w:firstColumn="1" w:lastColumn="0" w:oddVBand="0" w:evenVBand="0" w:oddHBand="0" w:evenHBand="0" w:firstRowFirstColumn="0" w:firstRowLastColumn="0" w:lastRowFirstColumn="0" w:lastRowLastColumn="0"/>
            <w:tcW w:w="684" w:type="pct"/>
            <w:tcBorders>
              <w:top w:val="single" w:sz="12" w:space="0" w:color="666666" w:themeColor="text1" w:themeTint="99"/>
            </w:tcBorders>
            <w:shd w:val="clear" w:color="auto" w:fill="auto"/>
          </w:tcPr>
          <w:p w14:paraId="6DCB564E" w14:textId="77777777" w:rsidR="0080140C" w:rsidRPr="00B37A23" w:rsidRDefault="0080140C" w:rsidP="00674881">
            <w:pPr>
              <w:spacing w:before="60" w:after="60"/>
              <w:jc w:val="center"/>
              <w:rPr>
                <w:sz w:val="16"/>
                <w:szCs w:val="16"/>
              </w:rPr>
            </w:pPr>
            <w:r w:rsidRPr="00B37A23">
              <w:rPr>
                <w:sz w:val="16"/>
                <w:szCs w:val="16"/>
              </w:rPr>
              <w:t>Core Competence</w:t>
            </w:r>
          </w:p>
        </w:tc>
        <w:tc>
          <w:tcPr>
            <w:tcW w:w="1546" w:type="pct"/>
            <w:gridSpan w:val="2"/>
            <w:tcBorders>
              <w:top w:val="single" w:sz="12" w:space="0" w:color="666666" w:themeColor="text1" w:themeTint="99"/>
            </w:tcBorders>
            <w:shd w:val="clear" w:color="auto" w:fill="auto"/>
          </w:tcPr>
          <w:p w14:paraId="2CBADCDB" w14:textId="77777777" w:rsidR="0080140C" w:rsidRPr="00B37A23" w:rsidRDefault="0080140C" w:rsidP="00674881">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r w:rsidRPr="00B37A23">
              <w:rPr>
                <w:b/>
                <w:sz w:val="16"/>
                <w:szCs w:val="16"/>
              </w:rPr>
              <w:t>Competence performance criteria</w:t>
            </w:r>
          </w:p>
        </w:tc>
        <w:tc>
          <w:tcPr>
            <w:tcW w:w="1192" w:type="pct"/>
            <w:gridSpan w:val="2"/>
            <w:tcBorders>
              <w:top w:val="single" w:sz="12" w:space="0" w:color="666666" w:themeColor="text1" w:themeTint="99"/>
            </w:tcBorders>
            <w:shd w:val="clear" w:color="auto" w:fill="auto"/>
          </w:tcPr>
          <w:p w14:paraId="17B79467" w14:textId="77777777" w:rsidR="0080140C" w:rsidRPr="00B37A23" w:rsidRDefault="0080140C" w:rsidP="00674881">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r w:rsidRPr="00B37A23">
              <w:rPr>
                <w:b/>
                <w:sz w:val="16"/>
                <w:szCs w:val="16"/>
              </w:rPr>
              <w:t>Knowledge requirements</w:t>
            </w:r>
          </w:p>
        </w:tc>
        <w:tc>
          <w:tcPr>
            <w:tcW w:w="1578" w:type="pct"/>
            <w:tcBorders>
              <w:top w:val="single" w:sz="12" w:space="0" w:color="666666" w:themeColor="text1" w:themeTint="99"/>
            </w:tcBorders>
            <w:shd w:val="clear" w:color="auto" w:fill="auto"/>
          </w:tcPr>
          <w:p w14:paraId="78C4FAE5" w14:textId="77777777" w:rsidR="0080140C" w:rsidRPr="00B37A23" w:rsidRDefault="0080140C" w:rsidP="00674881">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r w:rsidRPr="00B37A23">
              <w:rPr>
                <w:b/>
                <w:sz w:val="16"/>
                <w:szCs w:val="16"/>
              </w:rPr>
              <w:t>Evidence provided competency assessment</w:t>
            </w:r>
          </w:p>
        </w:tc>
      </w:tr>
      <w:tr w:rsidR="0080140C" w:rsidRPr="00B37A23" w14:paraId="5BB2FA2B" w14:textId="77777777" w:rsidTr="00714E1B">
        <w:trPr>
          <w:trHeight w:val="1491"/>
        </w:trPr>
        <w:tc>
          <w:tcPr>
            <w:cnfStyle w:val="001000000000" w:firstRow="0" w:lastRow="0" w:firstColumn="1" w:lastColumn="0" w:oddVBand="0" w:evenVBand="0" w:oddHBand="0" w:evenHBand="0" w:firstRowFirstColumn="0" w:firstRowLastColumn="0" w:lastRowFirstColumn="0" w:lastRowLastColumn="0"/>
            <w:tcW w:w="684" w:type="pct"/>
            <w:tcBorders>
              <w:bottom w:val="single" w:sz="4" w:space="0" w:color="A6A6A6" w:themeColor="background1" w:themeShade="A6"/>
            </w:tcBorders>
          </w:tcPr>
          <w:p w14:paraId="482F68D7" w14:textId="29798D20" w:rsidR="0080140C" w:rsidRPr="00714E1B" w:rsidRDefault="00C3388F" w:rsidP="00A450EB">
            <w:pPr>
              <w:pStyle w:val="ListParagraph"/>
              <w:numPr>
                <w:ilvl w:val="0"/>
                <w:numId w:val="14"/>
              </w:numPr>
              <w:spacing w:before="0" w:after="0"/>
              <w:ind w:left="284" w:hanging="284"/>
              <w:rPr>
                <w:sz w:val="16"/>
                <w:szCs w:val="16"/>
                <w:lang w:val="en-AU"/>
              </w:rPr>
            </w:pPr>
            <w:r w:rsidRPr="00B37A23">
              <w:rPr>
                <w:sz w:val="16"/>
                <w:szCs w:val="16"/>
                <w:lang w:val="en-AU"/>
              </w:rPr>
              <w:t>Competences related to the delivery of learning service</w:t>
            </w:r>
            <w:r w:rsidR="00714E1B">
              <w:rPr>
                <w:sz w:val="16"/>
                <w:szCs w:val="16"/>
                <w:lang w:val="en-AU"/>
              </w:rPr>
              <w:t>s</w:t>
            </w:r>
          </w:p>
        </w:tc>
        <w:tc>
          <w:tcPr>
            <w:tcW w:w="1546" w:type="pct"/>
            <w:gridSpan w:val="2"/>
            <w:tcBorders>
              <w:bottom w:val="single" w:sz="4" w:space="0" w:color="A6A6A6" w:themeColor="background1" w:themeShade="A6"/>
            </w:tcBorders>
          </w:tcPr>
          <w:p w14:paraId="5DD5CAF5" w14:textId="77777777" w:rsidR="0080140C" w:rsidRPr="00B37A23" w:rsidRDefault="0080140C" w:rsidP="009C45F8">
            <w:pPr>
              <w:pStyle w:val="ListParagraph"/>
              <w:numPr>
                <w:ilvl w:val="0"/>
                <w:numId w:val="15"/>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GillSansMT"/>
                <w:b/>
                <w:sz w:val="16"/>
                <w:szCs w:val="16"/>
                <w:lang w:val="en-AU"/>
              </w:rPr>
            </w:pPr>
            <w:r w:rsidRPr="00B37A23">
              <w:rPr>
                <w:rFonts w:cs="GillSansMT"/>
                <w:b/>
                <w:sz w:val="16"/>
                <w:szCs w:val="16"/>
                <w:lang w:val="en-AU"/>
              </w:rPr>
              <w:t>Teach and/or support learning</w:t>
            </w:r>
          </w:p>
          <w:p w14:paraId="6DD80473" w14:textId="77777777" w:rsidR="0080140C" w:rsidRPr="00B37A23" w:rsidRDefault="0080140C" w:rsidP="00C22BD5">
            <w:pPr>
              <w:cnfStyle w:val="000000000000" w:firstRow="0" w:lastRow="0" w:firstColumn="0" w:lastColumn="0" w:oddVBand="0" w:evenVBand="0" w:oddHBand="0" w:evenHBand="0" w:firstRowFirstColumn="0" w:firstRowLastColumn="0" w:lastRowFirstColumn="0" w:lastRowLastColumn="0"/>
              <w:rPr>
                <w:sz w:val="16"/>
                <w:szCs w:val="16"/>
                <w:lang w:val="en-AU"/>
              </w:rPr>
            </w:pPr>
            <w:r w:rsidRPr="00B37A23">
              <w:rPr>
                <w:sz w:val="16"/>
                <w:szCs w:val="16"/>
                <w:lang w:val="en-AU"/>
              </w:rPr>
              <w:t>Demonstrate a current and ongoing awareness of different approaches and methods of teaching and supporting learning. Ability to provide direct engagement and interaction with learners, whether in groups or individually, remotely or face-to-face. This may involve activities such as:</w:t>
            </w:r>
          </w:p>
          <w:p w14:paraId="132F9BC1" w14:textId="77777777" w:rsidR="0080140C" w:rsidRPr="00B37A23" w:rsidRDefault="0080140C" w:rsidP="009C45F8">
            <w:pPr>
              <w:pStyle w:val="ListParagraph"/>
              <w:numPr>
                <w:ilvl w:val="0"/>
                <w:numId w:val="2"/>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Instruction and teaching</w:t>
            </w:r>
          </w:p>
          <w:p w14:paraId="2476E4DA" w14:textId="77777777"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Distance learning</w:t>
            </w:r>
          </w:p>
          <w:p w14:paraId="5181620A" w14:textId="00FFC457" w:rsidR="0080140C" w:rsidRPr="00714E1B" w:rsidRDefault="0080140C" w:rsidP="00714E1B">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Use of virtual learning environments</w:t>
            </w:r>
          </w:p>
          <w:p w14:paraId="049A2232" w14:textId="4FC0695B" w:rsidR="00714E1B" w:rsidRPr="00714E1B" w:rsidRDefault="00714E1B" w:rsidP="00714E1B">
            <w:pPr>
              <w:pStyle w:val="ListParagraph"/>
              <w:numPr>
                <w:ilvl w:val="0"/>
                <w:numId w:val="3"/>
              </w:numPr>
              <w:autoSpaceDE w:val="0"/>
              <w:autoSpaceDN w:val="0"/>
              <w:adjustRightInd w:val="0"/>
              <w:spacing w:before="0"/>
              <w:ind w:left="284" w:hanging="284"/>
              <w:cnfStyle w:val="000000000000" w:firstRow="0" w:lastRow="0" w:firstColumn="0" w:lastColumn="0" w:oddVBand="0" w:evenVBand="0" w:oddHBand="0" w:evenHBand="0" w:firstRowFirstColumn="0" w:firstRowLastColumn="0" w:lastRowFirstColumn="0" w:lastRowLastColumn="0"/>
              <w:rPr>
                <w:rFonts w:cs="Tahoma"/>
                <w:bCs/>
                <w:color w:val="000000"/>
                <w:sz w:val="16"/>
                <w:szCs w:val="16"/>
                <w:lang w:val="en-AU"/>
              </w:rPr>
            </w:pPr>
            <w:r w:rsidRPr="00B37A23">
              <w:rPr>
                <w:rFonts w:cs="Tahoma"/>
                <w:color w:val="000000"/>
                <w:sz w:val="16"/>
                <w:szCs w:val="16"/>
                <w:lang w:val="en-AU"/>
              </w:rPr>
              <w:t>Supervision and mentoring</w:t>
            </w:r>
          </w:p>
        </w:tc>
        <w:tc>
          <w:tcPr>
            <w:tcW w:w="1192" w:type="pct"/>
            <w:gridSpan w:val="2"/>
            <w:tcBorders>
              <w:bottom w:val="single" w:sz="4" w:space="0" w:color="A6A6A6" w:themeColor="background1" w:themeShade="A6"/>
            </w:tcBorders>
          </w:tcPr>
          <w:p w14:paraId="281E8965" w14:textId="77777777" w:rsidR="0080140C" w:rsidRPr="00B37A23" w:rsidRDefault="0080140C" w:rsidP="009C45F8">
            <w:pPr>
              <w:autoSpaceDE w:val="0"/>
              <w:autoSpaceDN w:val="0"/>
              <w:adjustRightInd w:val="0"/>
              <w:ind w:left="284" w:hanging="284"/>
              <w:contextualSpacing/>
              <w:cnfStyle w:val="000000000000" w:firstRow="0" w:lastRow="0" w:firstColumn="0" w:lastColumn="0" w:oddVBand="0" w:evenVBand="0" w:oddHBand="0" w:evenHBand="0" w:firstRowFirstColumn="0" w:firstRowLastColumn="0" w:lastRowFirstColumn="0" w:lastRowLastColumn="0"/>
              <w:rPr>
                <w:rFonts w:cs="Tahoma"/>
                <w:color w:val="000000"/>
                <w:sz w:val="16"/>
                <w:szCs w:val="16"/>
              </w:rPr>
            </w:pPr>
            <w:r w:rsidRPr="00B37A23">
              <w:rPr>
                <w:rFonts w:cs="Tahoma"/>
                <w:color w:val="000000"/>
                <w:sz w:val="16"/>
                <w:szCs w:val="16"/>
              </w:rPr>
              <w:t>Knowledge and</w:t>
            </w:r>
            <w:r w:rsidRPr="00B37A23">
              <w:rPr>
                <w:rFonts w:cs="Tahoma"/>
                <w:color w:val="000000"/>
                <w:sz w:val="16"/>
                <w:szCs w:val="16"/>
                <w:lang w:val="en-AU"/>
              </w:rPr>
              <w:t xml:space="preserve"> understanding of: </w:t>
            </w:r>
          </w:p>
          <w:p w14:paraId="3689A821" w14:textId="77777777" w:rsidR="0080140C" w:rsidRPr="00B37A23" w:rsidRDefault="0080140C" w:rsidP="009C45F8">
            <w:pPr>
              <w:pStyle w:val="ListParagraph"/>
              <w:numPr>
                <w:ilvl w:val="0"/>
                <w:numId w:val="4"/>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The subject material</w:t>
            </w:r>
          </w:p>
          <w:p w14:paraId="5A03DBEB" w14:textId="61C992ED"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Appropriate methods for teaching</w:t>
            </w:r>
            <w:r w:rsidR="004A441C">
              <w:rPr>
                <w:rFonts w:cs="Tahoma"/>
                <w:color w:val="000000"/>
                <w:sz w:val="16"/>
                <w:szCs w:val="16"/>
                <w:lang w:val="en-AU"/>
              </w:rPr>
              <w:t xml:space="preserve"> </w:t>
            </w:r>
            <w:r w:rsidRPr="00B37A23">
              <w:rPr>
                <w:rFonts w:cs="Tahoma"/>
                <w:color w:val="000000"/>
                <w:sz w:val="16"/>
                <w:szCs w:val="16"/>
                <w:lang w:val="en-AU"/>
              </w:rPr>
              <w:t xml:space="preserve">and assessing in the subject area </w:t>
            </w:r>
          </w:p>
          <w:p w14:paraId="6118AFB8" w14:textId="07B0C77D"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The use of appropriate learning technologies</w:t>
            </w:r>
            <w:r w:rsidR="00C3388F">
              <w:rPr>
                <w:rFonts w:cs="Tahoma"/>
                <w:color w:val="000000"/>
                <w:sz w:val="16"/>
                <w:szCs w:val="16"/>
                <w:lang w:val="en-AU"/>
              </w:rPr>
              <w:t>, for example Moodle</w:t>
            </w:r>
          </w:p>
          <w:p w14:paraId="0B1A0E86" w14:textId="77777777"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Methods for evaluating the effectiveness of teaching</w:t>
            </w:r>
          </w:p>
        </w:tc>
        <w:tc>
          <w:tcPr>
            <w:tcW w:w="1578" w:type="pct"/>
            <w:tcBorders>
              <w:bottom w:val="single" w:sz="4" w:space="0" w:color="A6A6A6" w:themeColor="background1" w:themeShade="A6"/>
            </w:tcBorders>
          </w:tcPr>
          <w:p w14:paraId="69D7D136" w14:textId="77777777" w:rsidR="00F2192F" w:rsidRPr="002E6B46" w:rsidRDefault="00F2192F"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17820233"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719B227C"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786E595"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3D226C9B"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CAD4A3A"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F057DB1"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20B3DB6D"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2A91777B" w14:textId="77777777" w:rsidR="004A441C" w:rsidRPr="002E6B46" w:rsidRDefault="004A441C"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0C3CBAC8"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380966A1"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tc>
      </w:tr>
      <w:tr w:rsidR="0080140C" w:rsidRPr="00B37A23" w14:paraId="02D830AC" w14:textId="77777777" w:rsidTr="00714E1B">
        <w:tc>
          <w:tcPr>
            <w:cnfStyle w:val="001000000000" w:firstRow="0" w:lastRow="0" w:firstColumn="1" w:lastColumn="0" w:oddVBand="0" w:evenVBand="0" w:oddHBand="0" w:evenHBand="0" w:firstRowFirstColumn="0" w:firstRowLastColumn="0" w:lastRowFirstColumn="0" w:lastRowLastColumn="0"/>
            <w:tcW w:w="6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41FA1" w14:textId="77777777" w:rsidR="0080140C" w:rsidRPr="00B37A23" w:rsidRDefault="0080140C" w:rsidP="00A450EB">
            <w:pPr>
              <w:rPr>
                <w:sz w:val="16"/>
                <w:szCs w:val="16"/>
                <w:lang w:val="en-AU"/>
              </w:rPr>
            </w:pPr>
          </w:p>
        </w:tc>
        <w:tc>
          <w:tcPr>
            <w:tcW w:w="154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E65C9" w14:textId="77777777" w:rsidR="0080140C" w:rsidRPr="00B37A23" w:rsidRDefault="0080140C" w:rsidP="009C45F8">
            <w:pPr>
              <w:pStyle w:val="ListParagraph"/>
              <w:numPr>
                <w:ilvl w:val="0"/>
                <w:numId w:val="15"/>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GillSansMT"/>
                <w:b/>
                <w:sz w:val="16"/>
                <w:szCs w:val="16"/>
                <w:lang w:val="en-AU"/>
              </w:rPr>
            </w:pPr>
            <w:r w:rsidRPr="00B37A23">
              <w:rPr>
                <w:rFonts w:cs="GillSansMT"/>
                <w:b/>
                <w:sz w:val="16"/>
                <w:szCs w:val="16"/>
                <w:lang w:val="en-AU"/>
              </w:rPr>
              <w:t>Assess and give feedback to learners</w:t>
            </w:r>
          </w:p>
          <w:p w14:paraId="1B83CB6E" w14:textId="15850DCE" w:rsidR="0080140C" w:rsidRPr="00B37A23" w:rsidRDefault="004A441C" w:rsidP="00C22BD5">
            <w:pPr>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Pr>
                <w:sz w:val="16"/>
                <w:szCs w:val="16"/>
                <w:lang w:val="en-AU"/>
              </w:rPr>
              <w:t>Demonstrated a</w:t>
            </w:r>
            <w:r w:rsidR="0080140C" w:rsidRPr="00B37A23">
              <w:rPr>
                <w:sz w:val="16"/>
                <w:szCs w:val="16"/>
                <w:lang w:val="en-AU"/>
              </w:rPr>
              <w:t>bility</w:t>
            </w:r>
            <w:r w:rsidR="0080140C" w:rsidRPr="00B37A23">
              <w:rPr>
                <w:rFonts w:cs="Tahoma"/>
                <w:color w:val="000000"/>
                <w:sz w:val="16"/>
                <w:szCs w:val="16"/>
                <w:lang w:val="en-AU"/>
              </w:rPr>
              <w:t xml:space="preserve"> to assess and provide feedback to learners to </w:t>
            </w:r>
            <w:r w:rsidR="0080140C" w:rsidRPr="00B37A23">
              <w:rPr>
                <w:sz w:val="16"/>
                <w:szCs w:val="16"/>
                <w:lang w:val="en-AU"/>
              </w:rPr>
              <w:t>meet the intended learning outcomes and to ensure the effectiveness of teaching practices</w:t>
            </w:r>
            <w:r w:rsidR="0080140C" w:rsidRPr="00B37A23">
              <w:rPr>
                <w:rFonts w:cs="Tahoma"/>
                <w:color w:val="000000"/>
                <w:sz w:val="16"/>
                <w:szCs w:val="16"/>
                <w:lang w:val="en-AU"/>
              </w:rPr>
              <w:t xml:space="preserve">. </w:t>
            </w:r>
            <w:r w:rsidR="00601F06">
              <w:rPr>
                <w:color w:val="000000"/>
                <w:sz w:val="16"/>
                <w:szCs w:val="16"/>
                <w:lang w:val="en-AU"/>
              </w:rPr>
              <w:t>L</w:t>
            </w:r>
            <w:r w:rsidR="0080140C" w:rsidRPr="00B37A23">
              <w:rPr>
                <w:sz w:val="16"/>
                <w:szCs w:val="16"/>
                <w:lang w:val="en-AU"/>
              </w:rPr>
              <w:t xml:space="preserve">earner assessment may be formal or informal. Feedback may be face-to-face, written, or using electronic means. Ability to </w:t>
            </w:r>
            <w:r w:rsidR="0080140C" w:rsidRPr="00B37A23">
              <w:rPr>
                <w:rFonts w:cs="Tahoma"/>
                <w:color w:val="000000"/>
                <w:sz w:val="16"/>
                <w:szCs w:val="16"/>
                <w:lang w:val="en-AU"/>
              </w:rPr>
              <w:t xml:space="preserve">demonstrate an understanding of: </w:t>
            </w:r>
          </w:p>
          <w:p w14:paraId="2A1FF4BB" w14:textId="77777777"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Importance of assessment and feedback in the context of working with learners</w:t>
            </w:r>
          </w:p>
          <w:p w14:paraId="26FC857F" w14:textId="77777777"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lang w:val="en-AU"/>
              </w:rPr>
              <w:t>How to make informed, formative judgements about learners’ work</w:t>
            </w:r>
          </w:p>
          <w:p w14:paraId="766EB4D1" w14:textId="77777777" w:rsidR="0080140C" w:rsidRPr="00B37A23" w:rsidRDefault="0080140C" w:rsidP="00714E1B">
            <w:pPr>
              <w:pStyle w:val="ListParagraph"/>
              <w:numPr>
                <w:ilvl w:val="0"/>
                <w:numId w:val="3"/>
              </w:numPr>
              <w:autoSpaceDE w:val="0"/>
              <w:autoSpaceDN w:val="0"/>
              <w:adjustRightInd w:val="0"/>
              <w:spacing w:before="0"/>
              <w:ind w:left="284" w:hanging="284"/>
              <w:cnfStyle w:val="000000000000" w:firstRow="0" w:lastRow="0" w:firstColumn="0" w:lastColumn="0" w:oddVBand="0" w:evenVBand="0" w:oddHBand="0" w:evenHBand="0" w:firstRowFirstColumn="0" w:firstRowLastColumn="0" w:lastRowFirstColumn="0" w:lastRowLastColumn="0"/>
              <w:rPr>
                <w:rFonts w:cs="Tahoma"/>
                <w:bCs/>
                <w:color w:val="000000"/>
                <w:sz w:val="16"/>
                <w:szCs w:val="16"/>
                <w:lang w:val="en-AU"/>
              </w:rPr>
            </w:pPr>
            <w:r w:rsidRPr="00B37A23">
              <w:rPr>
                <w:rFonts w:cs="Tahoma"/>
                <w:color w:val="000000"/>
                <w:sz w:val="16"/>
                <w:szCs w:val="16"/>
                <w:lang w:val="en-AU"/>
              </w:rPr>
              <w:t>Appropriateness of the assessment approaches and feedback techniques</w:t>
            </w:r>
          </w:p>
        </w:tc>
        <w:tc>
          <w:tcPr>
            <w:tcW w:w="11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BB322" w14:textId="77777777" w:rsidR="0080140C" w:rsidRPr="00B37A23" w:rsidRDefault="0080140C" w:rsidP="009C45F8">
            <w:pPr>
              <w:autoSpaceDE w:val="0"/>
              <w:autoSpaceDN w:val="0"/>
              <w:adjustRightInd w:val="0"/>
              <w:ind w:left="284" w:hanging="284"/>
              <w:contextualSpacing/>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B37A23">
              <w:rPr>
                <w:rFonts w:cs="Tahoma"/>
                <w:color w:val="000000"/>
                <w:sz w:val="16"/>
                <w:szCs w:val="16"/>
              </w:rPr>
              <w:t>Knowledge and understanding of</w:t>
            </w:r>
            <w:r w:rsidRPr="00B37A23">
              <w:rPr>
                <w:rFonts w:cs="Tahoma"/>
                <w:color w:val="000000"/>
                <w:sz w:val="16"/>
                <w:szCs w:val="16"/>
                <w:lang w:val="en-AU"/>
              </w:rPr>
              <w:t xml:space="preserve">: </w:t>
            </w:r>
          </w:p>
          <w:p w14:paraId="11B3E6E9" w14:textId="77777777" w:rsidR="0080140C" w:rsidRPr="00B37A23" w:rsidRDefault="0080140C"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sz w:val="16"/>
                <w:szCs w:val="16"/>
                <w:lang w:val="en-AU" w:eastAsia="en-AU"/>
              </w:rPr>
            </w:pPr>
            <w:r w:rsidRPr="00B37A23">
              <w:rPr>
                <w:rFonts w:cs="Tahoma"/>
                <w:color w:val="000000"/>
                <w:sz w:val="16"/>
                <w:szCs w:val="16"/>
                <w:lang w:val="en-AU"/>
              </w:rPr>
              <w:t xml:space="preserve">Importance of feedback </w:t>
            </w:r>
            <w:r w:rsidRPr="00B37A23">
              <w:rPr>
                <w:sz w:val="16"/>
                <w:szCs w:val="16"/>
                <w:lang w:eastAsia="en-AU"/>
              </w:rPr>
              <w:t>for</w:t>
            </w:r>
            <w:r w:rsidRPr="00B37A23">
              <w:rPr>
                <w:sz w:val="16"/>
                <w:szCs w:val="16"/>
                <w:lang w:val="en-AU" w:eastAsia="en-AU"/>
              </w:rPr>
              <w:t xml:space="preserve"> achieving learning outcomes </w:t>
            </w:r>
          </w:p>
          <w:p w14:paraId="3DAE3E07" w14:textId="77777777" w:rsidR="0080140C" w:rsidRPr="00B37A23" w:rsidRDefault="0080140C" w:rsidP="009C45F8">
            <w:pPr>
              <w:pStyle w:val="ListParagraph"/>
              <w:numPr>
                <w:ilvl w:val="0"/>
                <w:numId w:val="3"/>
              </w:numPr>
              <w:tabs>
                <w:tab w:val="left" w:pos="1534"/>
                <w:tab w:val="left" w:pos="9224"/>
              </w:tabs>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rPr>
            </w:pPr>
            <w:r w:rsidRPr="00B37A23">
              <w:rPr>
                <w:sz w:val="16"/>
                <w:szCs w:val="16"/>
              </w:rPr>
              <w:t>Tools supporting assessment</w:t>
            </w:r>
            <w:r w:rsidRPr="00B37A23">
              <w:rPr>
                <w:sz w:val="16"/>
                <w:szCs w:val="16"/>
                <w:lang w:val="en-AU"/>
              </w:rPr>
              <w:t xml:space="preserve"> for providing formative feedback to learners</w:t>
            </w:r>
          </w:p>
          <w:p w14:paraId="608E7406" w14:textId="77777777" w:rsidR="0080140C" w:rsidRPr="00B37A23" w:rsidRDefault="0080140C" w:rsidP="009C45F8">
            <w:pPr>
              <w:pStyle w:val="ListParagraph"/>
              <w:numPr>
                <w:ilvl w:val="0"/>
                <w:numId w:val="3"/>
              </w:numPr>
              <w:tabs>
                <w:tab w:val="left" w:pos="1534"/>
                <w:tab w:val="left" w:pos="9224"/>
              </w:tabs>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rPr>
            </w:pPr>
            <w:r w:rsidRPr="00B37A23">
              <w:rPr>
                <w:rFonts w:cs="Tahoma"/>
                <w:color w:val="000000"/>
                <w:sz w:val="16"/>
                <w:szCs w:val="16"/>
                <w:lang w:val="en-AU"/>
              </w:rPr>
              <w:t>Respect for individual learners and diverse learning communities</w:t>
            </w:r>
          </w:p>
        </w:tc>
        <w:tc>
          <w:tcPr>
            <w:tcW w:w="15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A1272" w14:textId="77777777" w:rsidR="0080140C" w:rsidRPr="002E6B46" w:rsidRDefault="0080140C"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4B29A98"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32E1AABC"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C923F8B" w14:textId="77777777" w:rsid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40B1890" w14:textId="77777777" w:rsidR="00601F06" w:rsidRPr="002E6B46" w:rsidRDefault="00601F0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19CB454"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5DF90F9" w14:textId="77777777" w:rsid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2CC9713B"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709B6EE"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5ABBA1C6"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B3A168C" w14:textId="77777777" w:rsid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62A4C5E9" w14:textId="77777777" w:rsidR="004A441C" w:rsidRPr="002E6B46" w:rsidRDefault="004A441C"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5405F015"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tc>
      </w:tr>
      <w:tr w:rsidR="0080140C" w:rsidRPr="00B37A23" w14:paraId="2EBED932" w14:textId="77777777" w:rsidTr="00714E1B">
        <w:tc>
          <w:tcPr>
            <w:cnfStyle w:val="001000000000" w:firstRow="0" w:lastRow="0" w:firstColumn="1" w:lastColumn="0" w:oddVBand="0" w:evenVBand="0" w:oddHBand="0" w:evenHBand="0" w:firstRowFirstColumn="0" w:firstRowLastColumn="0" w:lastRowFirstColumn="0" w:lastRowLastColumn="0"/>
            <w:tcW w:w="6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FDE32" w14:textId="77777777" w:rsidR="0080140C" w:rsidRPr="00B37A23" w:rsidRDefault="0080140C" w:rsidP="008C0D26">
            <w:pPr>
              <w:pStyle w:val="ListParagraph"/>
              <w:numPr>
                <w:ilvl w:val="0"/>
                <w:numId w:val="14"/>
              </w:numPr>
              <w:spacing w:before="0" w:after="0"/>
              <w:ind w:left="284" w:hanging="284"/>
              <w:rPr>
                <w:sz w:val="16"/>
                <w:szCs w:val="16"/>
                <w:lang w:val="en-AU"/>
              </w:rPr>
            </w:pPr>
            <w:r w:rsidRPr="00B37A23">
              <w:rPr>
                <w:sz w:val="16"/>
                <w:szCs w:val="16"/>
              </w:rPr>
              <w:t>Personal competences</w:t>
            </w:r>
            <w:r w:rsidRPr="00B37A23">
              <w:rPr>
                <w:sz w:val="16"/>
                <w:szCs w:val="16"/>
                <w:lang w:val="en-AU"/>
              </w:rPr>
              <w:t xml:space="preserve"> </w:t>
            </w:r>
          </w:p>
          <w:p w14:paraId="538C0858" w14:textId="77777777" w:rsidR="0080140C" w:rsidRPr="00B37A23" w:rsidRDefault="0080140C" w:rsidP="00A450EB">
            <w:pPr>
              <w:pStyle w:val="Default"/>
              <w:spacing w:after="120"/>
              <w:rPr>
                <w:sz w:val="16"/>
                <w:szCs w:val="16"/>
              </w:rPr>
            </w:pPr>
          </w:p>
        </w:tc>
        <w:tc>
          <w:tcPr>
            <w:tcW w:w="154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90331" w14:textId="77777777" w:rsidR="0080140C" w:rsidRPr="00B37A23" w:rsidRDefault="0080140C" w:rsidP="009C45F8">
            <w:pPr>
              <w:pStyle w:val="ListParagraph"/>
              <w:numPr>
                <w:ilvl w:val="0"/>
                <w:numId w:val="16"/>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b/>
                <w:sz w:val="16"/>
                <w:szCs w:val="16"/>
                <w:lang w:val="en-AU"/>
              </w:rPr>
            </w:pPr>
            <w:r w:rsidRPr="00B37A23">
              <w:rPr>
                <w:b/>
                <w:sz w:val="16"/>
                <w:szCs w:val="16"/>
                <w:lang w:val="en-AU"/>
              </w:rPr>
              <w:t>The subject material</w:t>
            </w:r>
          </w:p>
          <w:p w14:paraId="466C45DE" w14:textId="77777777" w:rsidR="0080140C" w:rsidRPr="00B37A23" w:rsidRDefault="0080140C" w:rsidP="00C22BD5">
            <w:pPr>
              <w:pStyle w:val="ListParagraph"/>
              <w:spacing w:before="0" w:after="0"/>
              <w:ind w:left="0"/>
              <w:contextualSpacing w:val="0"/>
              <w:cnfStyle w:val="000000000000" w:firstRow="0" w:lastRow="0" w:firstColumn="0" w:lastColumn="0" w:oddVBand="0" w:evenVBand="0" w:oddHBand="0" w:evenHBand="0" w:firstRowFirstColumn="0" w:firstRowLastColumn="0" w:lastRowFirstColumn="0" w:lastRowLastColumn="0"/>
              <w:rPr>
                <w:rFonts w:cs="GillSansMT"/>
                <w:b/>
                <w:sz w:val="16"/>
                <w:szCs w:val="16"/>
                <w:lang w:val="en-AU"/>
              </w:rPr>
            </w:pPr>
            <w:r w:rsidRPr="00B37A23">
              <w:rPr>
                <w:sz w:val="16"/>
                <w:szCs w:val="16"/>
                <w:lang w:val="en-AU"/>
              </w:rPr>
              <w:t>Demonstrate how an understanding of the nature of the subject is used to inform the design and planning of learning activities, the teaching strategies, the assessment and feedback.</w:t>
            </w:r>
          </w:p>
        </w:tc>
        <w:tc>
          <w:tcPr>
            <w:tcW w:w="11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13209" w14:textId="77777777" w:rsidR="0080140C" w:rsidRPr="00B37A23" w:rsidRDefault="0080140C" w:rsidP="009C45F8">
            <w:pPr>
              <w:autoSpaceDE w:val="0"/>
              <w:autoSpaceDN w:val="0"/>
              <w:adjustRightInd w:val="0"/>
              <w:ind w:left="284" w:hanging="284"/>
              <w:contextualSpacing/>
              <w:cnfStyle w:val="000000000000" w:firstRow="0" w:lastRow="0" w:firstColumn="0" w:lastColumn="0" w:oddVBand="0" w:evenVBand="0" w:oddHBand="0" w:evenHBand="0" w:firstRowFirstColumn="0" w:firstRowLastColumn="0" w:lastRowFirstColumn="0" w:lastRowLastColumn="0"/>
              <w:rPr>
                <w:sz w:val="16"/>
                <w:szCs w:val="16"/>
                <w:lang w:val="en-AU"/>
              </w:rPr>
            </w:pPr>
            <w:r w:rsidRPr="00B37A23">
              <w:rPr>
                <w:sz w:val="16"/>
                <w:szCs w:val="16"/>
              </w:rPr>
              <w:t>Knowledge</w:t>
            </w:r>
            <w:r w:rsidRPr="00B37A23">
              <w:rPr>
                <w:sz w:val="16"/>
                <w:szCs w:val="16"/>
                <w:lang w:val="en-AU"/>
              </w:rPr>
              <w:t xml:space="preserve"> and understanding of: </w:t>
            </w:r>
          </w:p>
          <w:p w14:paraId="08A95BB0" w14:textId="77777777" w:rsidR="0080140C" w:rsidRPr="00B37A23" w:rsidRDefault="0080140C" w:rsidP="009C45F8">
            <w:pPr>
              <w:pStyle w:val="ListParagraph"/>
              <w:numPr>
                <w:ilvl w:val="0"/>
                <w:numId w:val="10"/>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sz w:val="16"/>
                <w:szCs w:val="16"/>
              </w:rPr>
            </w:pPr>
            <w:r w:rsidRPr="00B37A23">
              <w:rPr>
                <w:sz w:val="16"/>
                <w:szCs w:val="16"/>
              </w:rPr>
              <w:t>The subject area</w:t>
            </w:r>
          </w:p>
          <w:p w14:paraId="013677F1" w14:textId="77777777" w:rsidR="0080140C" w:rsidRPr="00B37A23" w:rsidRDefault="0080140C" w:rsidP="009C45F8">
            <w:pPr>
              <w:pStyle w:val="ListParagraph"/>
              <w:numPr>
                <w:ilvl w:val="0"/>
                <w:numId w:val="10"/>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rPr>
            </w:pPr>
            <w:r w:rsidRPr="00B37A23">
              <w:rPr>
                <w:sz w:val="16"/>
                <w:szCs w:val="16"/>
              </w:rPr>
              <w:t>Linking</w:t>
            </w:r>
            <w:r w:rsidRPr="00B37A23">
              <w:rPr>
                <w:sz w:val="16"/>
                <w:szCs w:val="16"/>
                <w:lang w:val="en-AU"/>
              </w:rPr>
              <w:t xml:space="preserve"> learning and teaching methods to assessment and feedback</w:t>
            </w:r>
          </w:p>
          <w:p w14:paraId="21A3F94C" w14:textId="77777777" w:rsidR="0080140C" w:rsidRPr="00B37A23" w:rsidRDefault="0080140C" w:rsidP="009C45F8">
            <w:pPr>
              <w:pStyle w:val="ListParagraph"/>
              <w:numPr>
                <w:ilvl w:val="0"/>
                <w:numId w:val="10"/>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Tahoma"/>
                <w:color w:val="000000"/>
                <w:sz w:val="16"/>
                <w:szCs w:val="16"/>
              </w:rPr>
            </w:pPr>
            <w:r w:rsidRPr="00B37A23">
              <w:rPr>
                <w:sz w:val="16"/>
                <w:szCs w:val="16"/>
              </w:rPr>
              <w:t>Aligning</w:t>
            </w:r>
            <w:r w:rsidRPr="00B37A23">
              <w:rPr>
                <w:sz w:val="16"/>
                <w:szCs w:val="16"/>
                <w:lang w:val="en-AU"/>
              </w:rPr>
              <w:t xml:space="preserve"> subject matter with appropriate method</w:t>
            </w:r>
            <w:r w:rsidRPr="00B37A23">
              <w:rPr>
                <w:sz w:val="16"/>
                <w:szCs w:val="16"/>
              </w:rPr>
              <w:t>s</w:t>
            </w:r>
            <w:r w:rsidRPr="00B37A23">
              <w:rPr>
                <w:sz w:val="16"/>
                <w:szCs w:val="16"/>
                <w:lang w:val="en-AU"/>
              </w:rPr>
              <w:t xml:space="preserve">, course design and assessment </w:t>
            </w:r>
          </w:p>
        </w:tc>
        <w:tc>
          <w:tcPr>
            <w:tcW w:w="15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C8643" w14:textId="4126B4F2"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04F88461"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CFB3642"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5C5D6495"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05E88378"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1A9FC980" w14:textId="77777777" w:rsidR="002E6B46" w:rsidRPr="002E6B46" w:rsidRDefault="002E6B46" w:rsidP="00A450EB">
            <w:pPr>
              <w:cnfStyle w:val="000000000000" w:firstRow="0" w:lastRow="0" w:firstColumn="0" w:lastColumn="0" w:oddVBand="0" w:evenVBand="0" w:oddHBand="0" w:evenHBand="0" w:firstRowFirstColumn="0" w:firstRowLastColumn="0" w:lastRowFirstColumn="0" w:lastRowLastColumn="0"/>
              <w:rPr>
                <w:sz w:val="18"/>
                <w:szCs w:val="18"/>
              </w:rPr>
            </w:pPr>
          </w:p>
          <w:p w14:paraId="47F8CC35" w14:textId="77777777" w:rsidR="00F2192F" w:rsidRPr="002E6B46" w:rsidRDefault="00F2192F" w:rsidP="00A450EB">
            <w:pPr>
              <w:cnfStyle w:val="000000000000" w:firstRow="0" w:lastRow="0" w:firstColumn="0" w:lastColumn="0" w:oddVBand="0" w:evenVBand="0" w:oddHBand="0" w:evenHBand="0" w:firstRowFirstColumn="0" w:firstRowLastColumn="0" w:lastRowFirstColumn="0" w:lastRowLastColumn="0"/>
              <w:rPr>
                <w:sz w:val="18"/>
                <w:szCs w:val="18"/>
              </w:rPr>
            </w:pPr>
          </w:p>
        </w:tc>
      </w:tr>
      <w:tr w:rsidR="002E6B46" w:rsidRPr="00B37A23" w14:paraId="2770E07D" w14:textId="77777777" w:rsidTr="00714E1B">
        <w:trPr>
          <w:trHeight w:val="1950"/>
        </w:trPr>
        <w:tc>
          <w:tcPr>
            <w:cnfStyle w:val="001000000000" w:firstRow="0" w:lastRow="0" w:firstColumn="1" w:lastColumn="0" w:oddVBand="0" w:evenVBand="0" w:oddHBand="0" w:evenHBand="0" w:firstRowFirstColumn="0" w:firstRowLastColumn="0" w:lastRowFirstColumn="0" w:lastRowLastColumn="0"/>
            <w:tcW w:w="6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CDCC5" w14:textId="77777777" w:rsidR="002E6B46" w:rsidRPr="00B37A23" w:rsidRDefault="002E6B46" w:rsidP="00A450EB">
            <w:pPr>
              <w:rPr>
                <w:b w:val="0"/>
                <w:bCs w:val="0"/>
                <w:sz w:val="16"/>
                <w:szCs w:val="16"/>
              </w:rPr>
            </w:pPr>
          </w:p>
        </w:tc>
        <w:tc>
          <w:tcPr>
            <w:tcW w:w="154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E1FDF" w14:textId="77777777" w:rsidR="002E6B46" w:rsidRPr="00B37A23" w:rsidRDefault="002E6B46" w:rsidP="009C45F8">
            <w:pPr>
              <w:pStyle w:val="ListParagraph"/>
              <w:numPr>
                <w:ilvl w:val="0"/>
                <w:numId w:val="16"/>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rFonts w:cs="GillSansMT"/>
                <w:b/>
                <w:sz w:val="16"/>
                <w:szCs w:val="16"/>
                <w:lang w:val="en-AU"/>
              </w:rPr>
            </w:pPr>
            <w:r w:rsidRPr="00B37A23">
              <w:rPr>
                <w:rFonts w:cs="GillSansMT"/>
                <w:b/>
                <w:sz w:val="16"/>
                <w:szCs w:val="16"/>
                <w:lang w:val="en-AU"/>
              </w:rPr>
              <w:t>Engage in continuing professional development in subjects/disciplines and professional practices.</w:t>
            </w:r>
          </w:p>
          <w:p w14:paraId="5398394A" w14:textId="77777777" w:rsidR="00C3388F" w:rsidRPr="00E831DE" w:rsidRDefault="00C3388F" w:rsidP="00C3388F">
            <w:pPr>
              <w:cnfStyle w:val="000000000000" w:firstRow="0" w:lastRow="0" w:firstColumn="0" w:lastColumn="0" w:oddVBand="0" w:evenVBand="0" w:oddHBand="0" w:evenHBand="0" w:firstRowFirstColumn="0" w:firstRowLastColumn="0" w:lastRowFirstColumn="0" w:lastRowLastColumn="0"/>
              <w:rPr>
                <w:sz w:val="16"/>
                <w:szCs w:val="16"/>
                <w:lang w:val="en-AU"/>
              </w:rPr>
            </w:pPr>
            <w:r w:rsidRPr="00E831DE">
              <w:rPr>
                <w:sz w:val="16"/>
                <w:szCs w:val="16"/>
                <w:lang w:val="en-AU"/>
              </w:rPr>
              <w:t>Facilitators should participate in continuing professional development activities such as:</w:t>
            </w:r>
          </w:p>
          <w:p w14:paraId="11DAA460" w14:textId="77777777" w:rsidR="00C3388F" w:rsidRPr="00E831DE" w:rsidRDefault="00C3388F" w:rsidP="00C3388F">
            <w:pPr>
              <w:pStyle w:val="ListParagraph"/>
              <w:numPr>
                <w:ilvl w:val="0"/>
                <w:numId w:val="18"/>
              </w:numPr>
              <w:spacing w:before="0" w:after="0"/>
              <w:ind w:left="357" w:hanging="357"/>
              <w:cnfStyle w:val="000000000000" w:firstRow="0" w:lastRow="0" w:firstColumn="0" w:lastColumn="0" w:oddVBand="0" w:evenVBand="0" w:oddHBand="0" w:evenHBand="0" w:firstRowFirstColumn="0" w:firstRowLastColumn="0" w:lastRowFirstColumn="0" w:lastRowLastColumn="0"/>
              <w:rPr>
                <w:sz w:val="16"/>
                <w:szCs w:val="16"/>
                <w:lang w:val="en-AU"/>
              </w:rPr>
            </w:pPr>
            <w:r w:rsidRPr="00E831DE">
              <w:rPr>
                <w:sz w:val="16"/>
                <w:szCs w:val="16"/>
                <w:lang w:val="en-AU"/>
              </w:rPr>
              <w:t>learning and teaching principles</w:t>
            </w:r>
          </w:p>
          <w:p w14:paraId="47EDCE18" w14:textId="77777777" w:rsidR="00C3388F" w:rsidRPr="00E831DE" w:rsidRDefault="00C3388F" w:rsidP="00C3388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E831DE">
              <w:rPr>
                <w:sz w:val="16"/>
                <w:szCs w:val="16"/>
                <w:lang w:val="en-AU"/>
              </w:rPr>
              <w:t>competence in using learning resources relevant to the learning services</w:t>
            </w:r>
          </w:p>
          <w:p w14:paraId="09085C91" w14:textId="77777777" w:rsidR="00C3388F" w:rsidRPr="00C3388F" w:rsidRDefault="00C3388F" w:rsidP="00C3388F">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3388F">
              <w:rPr>
                <w:sz w:val="16"/>
                <w:szCs w:val="16"/>
                <w:lang w:val="en-AU"/>
              </w:rPr>
              <w:t>practical experience in subject matter</w:t>
            </w:r>
          </w:p>
          <w:p w14:paraId="5B899197" w14:textId="707A6FBA" w:rsidR="002E6B46" w:rsidRPr="00C3388F" w:rsidRDefault="00C3388F" w:rsidP="00714E1B">
            <w:pPr>
              <w:spacing w:after="120"/>
              <w:cnfStyle w:val="000000000000" w:firstRow="0" w:lastRow="0" w:firstColumn="0" w:lastColumn="0" w:oddVBand="0" w:evenVBand="0" w:oddHBand="0" w:evenHBand="0" w:firstRowFirstColumn="0" w:firstRowLastColumn="0" w:lastRowFirstColumn="0" w:lastRowLastColumn="0"/>
              <w:rPr>
                <w:sz w:val="16"/>
                <w:szCs w:val="16"/>
                <w:lang w:val="en-AU"/>
              </w:rPr>
            </w:pPr>
            <w:r w:rsidRPr="00C3388F">
              <w:rPr>
                <w:sz w:val="16"/>
                <w:szCs w:val="16"/>
                <w:lang w:val="en-AU"/>
              </w:rPr>
              <w:t>Provide evidence of continuing professional development</w:t>
            </w:r>
            <w:r w:rsidR="004A441C">
              <w:rPr>
                <w:sz w:val="16"/>
                <w:szCs w:val="16"/>
                <w:lang w:val="en-AU"/>
              </w:rPr>
              <w:t xml:space="preserve"> and d</w:t>
            </w:r>
            <w:r w:rsidRPr="00C3388F">
              <w:rPr>
                <w:sz w:val="16"/>
                <w:szCs w:val="16"/>
                <w:lang w:val="en-AU"/>
              </w:rPr>
              <w:t>emonstrate how continuing professional development has improved the ability to deliver learning and/or support activities.</w:t>
            </w:r>
          </w:p>
        </w:tc>
        <w:tc>
          <w:tcPr>
            <w:tcW w:w="11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3370E" w14:textId="77777777" w:rsidR="002E6B46" w:rsidRPr="00C3388F" w:rsidRDefault="002E6B46" w:rsidP="008C0D26">
            <w:pPr>
              <w:autoSpaceDE w:val="0"/>
              <w:autoSpaceDN w:val="0"/>
              <w:adjustRightInd w:val="0"/>
              <w:ind w:left="42" w:hanging="42"/>
              <w:contextualSpacing/>
              <w:cnfStyle w:val="000000000000" w:firstRow="0" w:lastRow="0" w:firstColumn="0" w:lastColumn="0" w:oddVBand="0" w:evenVBand="0" w:oddHBand="0" w:evenHBand="0" w:firstRowFirstColumn="0" w:firstRowLastColumn="0" w:lastRowFirstColumn="0" w:lastRowLastColumn="0"/>
              <w:rPr>
                <w:rFonts w:cs="Tahoma"/>
                <w:color w:val="000000"/>
                <w:sz w:val="16"/>
                <w:szCs w:val="16"/>
                <w:lang w:val="en-AU"/>
              </w:rPr>
            </w:pPr>
            <w:r w:rsidRPr="00C3388F">
              <w:rPr>
                <w:rFonts w:cs="Tahoma"/>
                <w:color w:val="000000"/>
                <w:sz w:val="16"/>
                <w:szCs w:val="16"/>
              </w:rPr>
              <w:t>Continue</w:t>
            </w:r>
            <w:r w:rsidRPr="00C3388F">
              <w:rPr>
                <w:rFonts w:cs="Tahoma"/>
                <w:color w:val="000000"/>
                <w:sz w:val="16"/>
                <w:szCs w:val="16"/>
                <w:lang w:val="en-AU"/>
              </w:rPr>
              <w:t xml:space="preserve"> to develop capability in teaching and learning support including: </w:t>
            </w:r>
          </w:p>
          <w:p w14:paraId="5B83EED3" w14:textId="77777777" w:rsidR="002E6B46" w:rsidRPr="00C3388F" w:rsidRDefault="002E6B46"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sz w:val="16"/>
                <w:szCs w:val="16"/>
              </w:rPr>
            </w:pPr>
            <w:r w:rsidRPr="00C3388F">
              <w:rPr>
                <w:rFonts w:cs="Tahoma"/>
                <w:color w:val="000000"/>
                <w:sz w:val="16"/>
                <w:szCs w:val="16"/>
                <w:lang w:val="en-AU"/>
              </w:rPr>
              <w:t>Relevant continued professional development activities relevant to provision of learning services</w:t>
            </w:r>
          </w:p>
          <w:p w14:paraId="6F6DED37" w14:textId="77777777" w:rsidR="002E6B46" w:rsidRPr="00B37A23" w:rsidRDefault="002E6B46" w:rsidP="009C45F8">
            <w:pPr>
              <w:pStyle w:val="ListParagraph"/>
              <w:numPr>
                <w:ilvl w:val="0"/>
                <w:numId w:val="3"/>
              </w:numPr>
              <w:autoSpaceDE w:val="0"/>
              <w:autoSpaceDN w:val="0"/>
              <w:adjustRightInd w:val="0"/>
              <w:spacing w:before="0" w:after="0"/>
              <w:ind w:left="284" w:hanging="284"/>
              <w:cnfStyle w:val="000000000000" w:firstRow="0" w:lastRow="0" w:firstColumn="0" w:lastColumn="0" w:oddVBand="0" w:evenVBand="0" w:oddHBand="0" w:evenHBand="0" w:firstRowFirstColumn="0" w:firstRowLastColumn="0" w:lastRowFirstColumn="0" w:lastRowLastColumn="0"/>
              <w:rPr>
                <w:sz w:val="16"/>
                <w:szCs w:val="16"/>
              </w:rPr>
            </w:pPr>
            <w:r w:rsidRPr="00C3388F">
              <w:rPr>
                <w:rFonts w:cs="Tahoma"/>
                <w:color w:val="000000"/>
                <w:sz w:val="16"/>
                <w:szCs w:val="16"/>
                <w:lang w:val="en-AU"/>
              </w:rPr>
              <w:t>Incorporate subject and research within professional practice to support learning</w:t>
            </w:r>
          </w:p>
        </w:tc>
        <w:tc>
          <w:tcPr>
            <w:tcW w:w="15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F93AE" w14:textId="77777777" w:rsidR="002E6B46" w:rsidRP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0121618B" w14:textId="77777777" w:rsidR="002E6B46" w:rsidRP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78A7B11D" w14:textId="77777777" w:rsidR="002E6B46" w:rsidRP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19DD77D2" w14:textId="77777777" w:rsid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604A62F1" w14:textId="77777777" w:rsid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33C9A2A8" w14:textId="77777777" w:rsidR="004A441C"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7D4EA4E7" w14:textId="77777777" w:rsidR="004A441C"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572C690B" w14:textId="77777777" w:rsidR="004A441C"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2BD07355" w14:textId="77777777" w:rsidR="004A441C"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58630C5A" w14:textId="77777777" w:rsidR="004A441C"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5A814273" w14:textId="293E5CDD" w:rsidR="004A441C" w:rsidRPr="002E6B46" w:rsidRDefault="004A441C"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20C2A579" w14:textId="77777777" w:rsidR="002E6B46" w:rsidRPr="002E6B46" w:rsidRDefault="002E6B46" w:rsidP="00142731">
            <w:pPr>
              <w:cnfStyle w:val="000000000000" w:firstRow="0" w:lastRow="0" w:firstColumn="0" w:lastColumn="0" w:oddVBand="0" w:evenVBand="0" w:oddHBand="0" w:evenHBand="0" w:firstRowFirstColumn="0" w:firstRowLastColumn="0" w:lastRowFirstColumn="0" w:lastRowLastColumn="0"/>
              <w:rPr>
                <w:sz w:val="18"/>
                <w:szCs w:val="18"/>
              </w:rPr>
            </w:pPr>
          </w:p>
          <w:p w14:paraId="0F8CCBBE" w14:textId="77777777" w:rsidR="002E6B46" w:rsidRPr="00B37A23" w:rsidRDefault="002E6B46" w:rsidP="002E6B46">
            <w:pPr>
              <w:cnfStyle w:val="000000000000" w:firstRow="0" w:lastRow="0" w:firstColumn="0" w:lastColumn="0" w:oddVBand="0" w:evenVBand="0" w:oddHBand="0" w:evenHBand="0" w:firstRowFirstColumn="0" w:firstRowLastColumn="0" w:lastRowFirstColumn="0" w:lastRowLastColumn="0"/>
              <w:rPr>
                <w:sz w:val="20"/>
                <w:szCs w:val="20"/>
              </w:rPr>
            </w:pPr>
          </w:p>
        </w:tc>
      </w:tr>
      <w:tr w:rsidR="00601F06" w:rsidRPr="00E62E78" w14:paraId="141A0457" w14:textId="77777777" w:rsidTr="00714E1B">
        <w:tc>
          <w:tcPr>
            <w:cnfStyle w:val="001000000000" w:firstRow="0" w:lastRow="0" w:firstColumn="1" w:lastColumn="0" w:oddVBand="0" w:evenVBand="0" w:oddHBand="0" w:evenHBand="0" w:firstRowFirstColumn="0" w:firstRowLastColumn="0" w:lastRowFirstColumn="0" w:lastRowLastColumn="0"/>
            <w:tcW w:w="1459" w:type="pct"/>
            <w:gridSpan w:val="2"/>
            <w:vMerge w:val="restar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D9D9D9" w:themeFill="background1" w:themeFillShade="D9"/>
          </w:tcPr>
          <w:p w14:paraId="583B7010" w14:textId="4889ABEC" w:rsidR="00601F06" w:rsidRPr="00E62E78" w:rsidRDefault="00601F06" w:rsidP="0016463E">
            <w:pPr>
              <w:autoSpaceDE w:val="0"/>
              <w:autoSpaceDN w:val="0"/>
              <w:adjustRightInd w:val="0"/>
              <w:rPr>
                <w:rFonts w:cs="GillSansMT"/>
                <w:b w:val="0"/>
                <w:bCs w:val="0"/>
                <w:i/>
                <w:iCs/>
                <w:sz w:val="20"/>
                <w:szCs w:val="20"/>
                <w:lang w:val="en-AU"/>
              </w:rPr>
            </w:pPr>
            <w:r w:rsidRPr="00E62E78">
              <w:rPr>
                <w:rFonts w:cs="GillSansMT"/>
                <w:b w:val="0"/>
                <w:bCs w:val="0"/>
                <w:i/>
                <w:iCs/>
                <w:sz w:val="20"/>
                <w:szCs w:val="20"/>
                <w:lang w:val="en-AU"/>
              </w:rPr>
              <w:t>OTGA use</w:t>
            </w:r>
            <w:r w:rsidR="004A441C">
              <w:rPr>
                <w:rFonts w:cs="GillSansMT"/>
                <w:b w:val="0"/>
                <w:bCs w:val="0"/>
                <w:i/>
                <w:iCs/>
                <w:sz w:val="20"/>
                <w:szCs w:val="20"/>
                <w:lang w:val="en-AU"/>
              </w:rPr>
              <w:t>.</w:t>
            </w:r>
          </w:p>
        </w:tc>
        <w:tc>
          <w:tcPr>
            <w:tcW w:w="151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B46EB4D" w14:textId="77777777" w:rsidR="00601F06" w:rsidRPr="00E62E78" w:rsidRDefault="00601F06" w:rsidP="0016463E">
            <w:pPr>
              <w:autoSpaceDE w:val="0"/>
              <w:autoSpaceDN w:val="0"/>
              <w:adjustRightInd w:val="0"/>
              <w:ind w:left="42" w:hanging="42"/>
              <w:contextualSpacing/>
              <w:cnfStyle w:val="000000000000" w:firstRow="0" w:lastRow="0" w:firstColumn="0" w:lastColumn="0" w:oddVBand="0" w:evenVBand="0" w:oddHBand="0" w:evenHBand="0" w:firstRowFirstColumn="0" w:firstRowLastColumn="0" w:lastRowFirstColumn="0" w:lastRowLastColumn="0"/>
              <w:rPr>
                <w:rFonts w:cs="Tahoma"/>
                <w:i/>
                <w:iCs/>
                <w:color w:val="000000"/>
                <w:sz w:val="20"/>
                <w:szCs w:val="20"/>
              </w:rPr>
            </w:pPr>
            <w:r w:rsidRPr="00E62E78">
              <w:rPr>
                <w:rFonts w:cs="Tahoma"/>
                <w:i/>
                <w:iCs/>
                <w:color w:val="000000"/>
                <w:sz w:val="20"/>
                <w:szCs w:val="20"/>
              </w:rPr>
              <w:t>Date received</w:t>
            </w:r>
            <w:r>
              <w:rPr>
                <w:rFonts w:cs="Tahoma"/>
                <w:i/>
                <w:iCs/>
                <w:color w:val="000000"/>
                <w:sz w:val="20"/>
                <w:szCs w:val="20"/>
              </w:rPr>
              <w:t>:</w:t>
            </w:r>
          </w:p>
        </w:tc>
        <w:tc>
          <w:tcPr>
            <w:tcW w:w="202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ABDF2D7" w14:textId="77777777" w:rsidR="00601F06" w:rsidRPr="00E62E78" w:rsidRDefault="00601F06" w:rsidP="0016463E">
            <w:pPr>
              <w:cnfStyle w:val="000000000000" w:firstRow="0" w:lastRow="0" w:firstColumn="0" w:lastColumn="0" w:oddVBand="0" w:evenVBand="0" w:oddHBand="0" w:evenHBand="0" w:firstRowFirstColumn="0" w:firstRowLastColumn="0" w:lastRowFirstColumn="0" w:lastRowLastColumn="0"/>
              <w:rPr>
                <w:i/>
                <w:iCs/>
                <w:sz w:val="20"/>
                <w:szCs w:val="20"/>
              </w:rPr>
            </w:pPr>
            <w:r w:rsidRPr="00E62E78">
              <w:rPr>
                <w:i/>
                <w:iCs/>
                <w:sz w:val="20"/>
                <w:szCs w:val="20"/>
              </w:rPr>
              <w:t>Date approved</w:t>
            </w:r>
            <w:r>
              <w:rPr>
                <w:i/>
                <w:iCs/>
                <w:sz w:val="20"/>
                <w:szCs w:val="20"/>
              </w:rPr>
              <w:t>:</w:t>
            </w:r>
          </w:p>
        </w:tc>
      </w:tr>
      <w:tr w:rsidR="00601F06" w:rsidRPr="00E62E78" w14:paraId="795D4E09" w14:textId="77777777" w:rsidTr="00714E1B">
        <w:tc>
          <w:tcPr>
            <w:cnfStyle w:val="001000000000" w:firstRow="0" w:lastRow="0" w:firstColumn="1" w:lastColumn="0" w:oddVBand="0" w:evenVBand="0" w:oddHBand="0" w:evenHBand="0" w:firstRowFirstColumn="0" w:firstRowLastColumn="0" w:lastRowFirstColumn="0" w:lastRowLastColumn="0"/>
            <w:tcW w:w="1459" w:type="pct"/>
            <w:gridSpan w:val="2"/>
            <w:vMerge/>
            <w:tcBorders>
              <w:top w:val="single" w:sz="4" w:space="0" w:color="auto"/>
              <w:right w:val="single" w:sz="4" w:space="0" w:color="A6A6A6" w:themeColor="background1" w:themeShade="A6"/>
            </w:tcBorders>
            <w:shd w:val="clear" w:color="auto" w:fill="D9D9D9" w:themeFill="background1" w:themeFillShade="D9"/>
          </w:tcPr>
          <w:p w14:paraId="4525361A" w14:textId="77777777" w:rsidR="00601F06" w:rsidRPr="00E62E78" w:rsidRDefault="00601F06" w:rsidP="0016463E">
            <w:pPr>
              <w:autoSpaceDE w:val="0"/>
              <w:autoSpaceDN w:val="0"/>
              <w:adjustRightInd w:val="0"/>
              <w:rPr>
                <w:rFonts w:cs="GillSansMT"/>
                <w:i/>
                <w:iCs/>
                <w:sz w:val="20"/>
                <w:szCs w:val="20"/>
                <w:lang w:val="en-AU"/>
              </w:rPr>
            </w:pPr>
          </w:p>
        </w:tc>
        <w:tc>
          <w:tcPr>
            <w:tcW w:w="3541"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995BA3" w14:textId="77777777" w:rsidR="00601F06" w:rsidRPr="00E62E78" w:rsidRDefault="00601F06" w:rsidP="0016463E">
            <w:pPr>
              <w:cnfStyle w:val="000000000000" w:firstRow="0" w:lastRow="0" w:firstColumn="0" w:lastColumn="0" w:oddVBand="0" w:evenVBand="0" w:oddHBand="0" w:evenHBand="0" w:firstRowFirstColumn="0" w:firstRowLastColumn="0" w:lastRowFirstColumn="0" w:lastRowLastColumn="0"/>
              <w:rPr>
                <w:i/>
                <w:iCs/>
                <w:sz w:val="20"/>
                <w:szCs w:val="20"/>
              </w:rPr>
            </w:pPr>
            <w:r>
              <w:rPr>
                <w:rFonts w:cs="Tahoma"/>
                <w:i/>
                <w:iCs/>
                <w:color w:val="000000"/>
                <w:sz w:val="20"/>
                <w:szCs w:val="20"/>
              </w:rPr>
              <w:t>RTC/STC:</w:t>
            </w:r>
          </w:p>
        </w:tc>
      </w:tr>
    </w:tbl>
    <w:p w14:paraId="22AC567B" w14:textId="77777777" w:rsidR="00C8329F" w:rsidRPr="007A285D" w:rsidRDefault="00C8329F" w:rsidP="00C17505">
      <w:pPr>
        <w:rPr>
          <w:color w:val="808080" w:themeColor="background1" w:themeShade="80"/>
        </w:rPr>
      </w:pPr>
    </w:p>
    <w:sectPr w:rsidR="00C8329F" w:rsidRPr="007A285D" w:rsidSect="00F2192F">
      <w:head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9D64" w14:textId="77777777" w:rsidR="00DC42F6" w:rsidRDefault="00DC42F6" w:rsidP="0080140C">
      <w:r>
        <w:separator/>
      </w:r>
    </w:p>
  </w:endnote>
  <w:endnote w:type="continuationSeparator" w:id="0">
    <w:p w14:paraId="43890D47" w14:textId="77777777" w:rsidR="00DC42F6" w:rsidRDefault="00DC42F6" w:rsidP="0080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illSansMT">
    <w:panose1 w:val="020B0604020202020204"/>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DCB1" w14:textId="77777777" w:rsidR="00DC42F6" w:rsidRDefault="00DC42F6" w:rsidP="0080140C">
      <w:r>
        <w:separator/>
      </w:r>
    </w:p>
  </w:footnote>
  <w:footnote w:type="continuationSeparator" w:id="0">
    <w:p w14:paraId="5FC84E09" w14:textId="77777777" w:rsidR="00DC42F6" w:rsidRDefault="00DC42F6" w:rsidP="0080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A1EC" w14:textId="77777777" w:rsidR="0080140C" w:rsidRPr="0080140C" w:rsidRDefault="0080140C" w:rsidP="0080140C">
    <w:pPr>
      <w:pStyle w:val="Header"/>
      <w:tabs>
        <w:tab w:val="center" w:pos="1985"/>
      </w:tabs>
      <w:rPr>
        <w:sz w:val="20"/>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44D"/>
    <w:multiLevelType w:val="hybridMultilevel"/>
    <w:tmpl w:val="65480E70"/>
    <w:lvl w:ilvl="0" w:tplc="FBEE7C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43E1652"/>
    <w:multiLevelType w:val="hybridMultilevel"/>
    <w:tmpl w:val="E7A4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6A4541"/>
    <w:multiLevelType w:val="hybridMultilevel"/>
    <w:tmpl w:val="4668603E"/>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CA292A"/>
    <w:multiLevelType w:val="hybridMultilevel"/>
    <w:tmpl w:val="C86C692A"/>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25366"/>
    <w:multiLevelType w:val="hybridMultilevel"/>
    <w:tmpl w:val="5CD25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8E6CD4"/>
    <w:multiLevelType w:val="hybridMultilevel"/>
    <w:tmpl w:val="73FCE90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AA7D10"/>
    <w:multiLevelType w:val="hybridMultilevel"/>
    <w:tmpl w:val="225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FB28A5"/>
    <w:multiLevelType w:val="hybridMultilevel"/>
    <w:tmpl w:val="1E3EBB66"/>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DF1838"/>
    <w:multiLevelType w:val="hybridMultilevel"/>
    <w:tmpl w:val="C2E45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E16F6"/>
    <w:multiLevelType w:val="hybridMultilevel"/>
    <w:tmpl w:val="1F8488D2"/>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13263"/>
    <w:multiLevelType w:val="hybridMultilevel"/>
    <w:tmpl w:val="C59473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B34122"/>
    <w:multiLevelType w:val="hybridMultilevel"/>
    <w:tmpl w:val="D6CE1E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D70618"/>
    <w:multiLevelType w:val="hybridMultilevel"/>
    <w:tmpl w:val="03148538"/>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2422C5"/>
    <w:multiLevelType w:val="hybridMultilevel"/>
    <w:tmpl w:val="10282DA8"/>
    <w:lvl w:ilvl="0" w:tplc="C160001A">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2B7303"/>
    <w:multiLevelType w:val="hybridMultilevel"/>
    <w:tmpl w:val="10700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57765"/>
    <w:multiLevelType w:val="hybridMultilevel"/>
    <w:tmpl w:val="6C86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EF2B54"/>
    <w:multiLevelType w:val="multilevel"/>
    <w:tmpl w:val="F9921196"/>
    <w:lvl w:ilvl="0">
      <w:start w:val="1"/>
      <w:numFmt w:val="decimal"/>
      <w:lvlText w:val="%1."/>
      <w:lvlJc w:val="left"/>
      <w:pPr>
        <w:ind w:left="357" w:hanging="357"/>
      </w:pPr>
      <w:rPr>
        <w:rFonts w:hint="default"/>
      </w:rPr>
    </w:lvl>
    <w:lvl w:ilvl="1">
      <w:start w:val="1"/>
      <w:numFmt w:val="decimal"/>
      <w:isLgl/>
      <w:lvlText w:val="%1.%2"/>
      <w:lvlJc w:val="left"/>
      <w:pPr>
        <w:ind w:left="357" w:hanging="357"/>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7" w15:restartNumberingAfterBreak="0">
    <w:nsid w:val="75F91A03"/>
    <w:multiLevelType w:val="hybridMultilevel"/>
    <w:tmpl w:val="4C5E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0118320">
    <w:abstractNumId w:val="16"/>
  </w:num>
  <w:num w:numId="2" w16cid:durableId="916403989">
    <w:abstractNumId w:val="8"/>
  </w:num>
  <w:num w:numId="3" w16cid:durableId="256520982">
    <w:abstractNumId w:val="14"/>
  </w:num>
  <w:num w:numId="4" w16cid:durableId="1459181894">
    <w:abstractNumId w:val="3"/>
  </w:num>
  <w:num w:numId="5" w16cid:durableId="1761297361">
    <w:abstractNumId w:val="2"/>
  </w:num>
  <w:num w:numId="6" w16cid:durableId="2000956452">
    <w:abstractNumId w:val="12"/>
  </w:num>
  <w:num w:numId="7" w16cid:durableId="1556505117">
    <w:abstractNumId w:val="13"/>
  </w:num>
  <w:num w:numId="8" w16cid:durableId="2120488604">
    <w:abstractNumId w:val="9"/>
  </w:num>
  <w:num w:numId="9" w16cid:durableId="1021513042">
    <w:abstractNumId w:val="7"/>
  </w:num>
  <w:num w:numId="10" w16cid:durableId="804930141">
    <w:abstractNumId w:val="1"/>
  </w:num>
  <w:num w:numId="11" w16cid:durableId="637102153">
    <w:abstractNumId w:val="15"/>
  </w:num>
  <w:num w:numId="12" w16cid:durableId="293951551">
    <w:abstractNumId w:val="6"/>
  </w:num>
  <w:num w:numId="13" w16cid:durableId="2138060146">
    <w:abstractNumId w:val="4"/>
  </w:num>
  <w:num w:numId="14" w16cid:durableId="1172141912">
    <w:abstractNumId w:val="5"/>
  </w:num>
  <w:num w:numId="15" w16cid:durableId="1812595715">
    <w:abstractNumId w:val="10"/>
  </w:num>
  <w:num w:numId="16" w16cid:durableId="1380861776">
    <w:abstractNumId w:val="0"/>
  </w:num>
  <w:num w:numId="17" w16cid:durableId="740518602">
    <w:abstractNumId w:val="11"/>
  </w:num>
  <w:num w:numId="18" w16cid:durableId="264965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0C"/>
    <w:rsid w:val="000365C1"/>
    <w:rsid w:val="00066A95"/>
    <w:rsid w:val="001109FE"/>
    <w:rsid w:val="0013671F"/>
    <w:rsid w:val="00143C6B"/>
    <w:rsid w:val="00160B02"/>
    <w:rsid w:val="001B078C"/>
    <w:rsid w:val="001B35E2"/>
    <w:rsid w:val="002E6B46"/>
    <w:rsid w:val="003941C1"/>
    <w:rsid w:val="003A789A"/>
    <w:rsid w:val="004A441C"/>
    <w:rsid w:val="004C1912"/>
    <w:rsid w:val="00601F06"/>
    <w:rsid w:val="00674881"/>
    <w:rsid w:val="0068175E"/>
    <w:rsid w:val="00700EA0"/>
    <w:rsid w:val="00714E1B"/>
    <w:rsid w:val="007A285D"/>
    <w:rsid w:val="007E32B7"/>
    <w:rsid w:val="0080140C"/>
    <w:rsid w:val="008C0D26"/>
    <w:rsid w:val="008D56F0"/>
    <w:rsid w:val="008F1B4E"/>
    <w:rsid w:val="008F41FD"/>
    <w:rsid w:val="009779AE"/>
    <w:rsid w:val="009B52E4"/>
    <w:rsid w:val="009B71BD"/>
    <w:rsid w:val="009C45F8"/>
    <w:rsid w:val="00A9385D"/>
    <w:rsid w:val="00B03721"/>
    <w:rsid w:val="00B25543"/>
    <w:rsid w:val="00B25C55"/>
    <w:rsid w:val="00BD07E9"/>
    <w:rsid w:val="00C17505"/>
    <w:rsid w:val="00C22BD5"/>
    <w:rsid w:val="00C3388F"/>
    <w:rsid w:val="00C8329F"/>
    <w:rsid w:val="00DC115D"/>
    <w:rsid w:val="00DC42F6"/>
    <w:rsid w:val="00DE2549"/>
    <w:rsid w:val="00DF1BD4"/>
    <w:rsid w:val="00E630B6"/>
    <w:rsid w:val="00F2192F"/>
    <w:rsid w:val="00FA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9D1F"/>
  <w15:docId w15:val="{4A5CAB0F-6C47-714C-AE92-662D52FC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21"/>
    <w:pPr>
      <w:spacing w:after="0" w:line="240" w:lineRule="auto"/>
    </w:pPr>
    <w:rPr>
      <w:rFonts w:ascii="Calibri" w:eastAsiaTheme="minorEastAsia" w:hAnsi="Calibri" w:cs="Times New Roman"/>
      <w:sz w:val="24"/>
      <w:szCs w:val="24"/>
    </w:rPr>
  </w:style>
  <w:style w:type="paragraph" w:styleId="Heading1">
    <w:name w:val="heading 1"/>
    <w:basedOn w:val="Normal"/>
    <w:next w:val="Normal"/>
    <w:link w:val="Heading1Char"/>
    <w:qFormat/>
    <w:rsid w:val="007E32B7"/>
    <w:pPr>
      <w:keepNext/>
      <w:spacing w:before="360"/>
      <w:outlineLvl w:val="0"/>
    </w:pPr>
    <w:rPr>
      <w:rFonts w:eastAsia="Times New Roman" w:cstheme="minorBidi"/>
      <w:b/>
      <w:bCs/>
      <w:caps/>
      <w:kern w:val="32"/>
      <w:sz w:val="28"/>
      <w:szCs w:val="32"/>
    </w:rPr>
  </w:style>
  <w:style w:type="paragraph" w:styleId="Heading2">
    <w:name w:val="heading 2"/>
    <w:basedOn w:val="Normal"/>
    <w:next w:val="Normal"/>
    <w:link w:val="Heading2Char"/>
    <w:uiPriority w:val="9"/>
    <w:unhideWhenUsed/>
    <w:qFormat/>
    <w:rsid w:val="00143C6B"/>
    <w:pPr>
      <w:keepNext/>
      <w:keepLines/>
      <w:ind w:left="680" w:hanging="68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32B7"/>
    <w:rPr>
      <w:rFonts w:eastAsia="Times New Roman"/>
      <w:b/>
      <w:bCs/>
      <w:caps/>
      <w:kern w:val="32"/>
      <w:sz w:val="28"/>
      <w:szCs w:val="32"/>
      <w:lang w:val="en-AU" w:eastAsia="zh-CN"/>
    </w:rPr>
  </w:style>
  <w:style w:type="character" w:customStyle="1" w:styleId="Heading2Char">
    <w:name w:val="Heading 2 Char"/>
    <w:basedOn w:val="DefaultParagraphFont"/>
    <w:link w:val="Heading2"/>
    <w:uiPriority w:val="9"/>
    <w:rsid w:val="00143C6B"/>
    <w:rPr>
      <w:rFonts w:ascii="Calibri" w:eastAsiaTheme="majorEastAsia" w:hAnsi="Calibri" w:cstheme="majorBidi"/>
      <w:b/>
      <w:szCs w:val="26"/>
    </w:rPr>
  </w:style>
  <w:style w:type="paragraph" w:styleId="TOC3">
    <w:name w:val="toc 3"/>
    <w:basedOn w:val="Normal"/>
    <w:next w:val="Normal"/>
    <w:autoRedefine/>
    <w:uiPriority w:val="39"/>
    <w:unhideWhenUsed/>
    <w:qFormat/>
    <w:rsid w:val="00B25543"/>
    <w:pPr>
      <w:tabs>
        <w:tab w:val="left" w:pos="1320"/>
        <w:tab w:val="right" w:leader="dot" w:pos="9010"/>
      </w:tabs>
      <w:ind w:left="440"/>
    </w:pPr>
    <w:rPr>
      <w:lang w:val="en-GB"/>
    </w:rPr>
  </w:style>
  <w:style w:type="paragraph" w:styleId="Header">
    <w:name w:val="header"/>
    <w:basedOn w:val="Normal"/>
    <w:link w:val="HeaderChar"/>
    <w:uiPriority w:val="99"/>
    <w:unhideWhenUsed/>
    <w:rsid w:val="0080140C"/>
    <w:pPr>
      <w:tabs>
        <w:tab w:val="center" w:pos="4513"/>
        <w:tab w:val="right" w:pos="9026"/>
      </w:tabs>
    </w:pPr>
  </w:style>
  <w:style w:type="character" w:customStyle="1" w:styleId="HeaderChar">
    <w:name w:val="Header Char"/>
    <w:basedOn w:val="DefaultParagraphFont"/>
    <w:link w:val="Header"/>
    <w:uiPriority w:val="99"/>
    <w:rsid w:val="0080140C"/>
    <w:rPr>
      <w:rFonts w:ascii="Calibri" w:eastAsiaTheme="minorEastAsia" w:hAnsi="Calibri" w:cs="Times New Roman"/>
      <w:sz w:val="24"/>
      <w:szCs w:val="24"/>
    </w:rPr>
  </w:style>
  <w:style w:type="paragraph" w:styleId="Footer">
    <w:name w:val="footer"/>
    <w:basedOn w:val="Normal"/>
    <w:link w:val="FooterChar"/>
    <w:uiPriority w:val="99"/>
    <w:unhideWhenUsed/>
    <w:rsid w:val="0080140C"/>
    <w:pPr>
      <w:tabs>
        <w:tab w:val="center" w:pos="4513"/>
        <w:tab w:val="right" w:pos="9026"/>
      </w:tabs>
    </w:pPr>
  </w:style>
  <w:style w:type="character" w:customStyle="1" w:styleId="FooterChar">
    <w:name w:val="Footer Char"/>
    <w:basedOn w:val="DefaultParagraphFont"/>
    <w:link w:val="Footer"/>
    <w:uiPriority w:val="99"/>
    <w:rsid w:val="0080140C"/>
    <w:rPr>
      <w:rFonts w:ascii="Calibri" w:eastAsiaTheme="minorEastAsia" w:hAnsi="Calibri" w:cs="Times New Roman"/>
      <w:sz w:val="24"/>
      <w:szCs w:val="24"/>
    </w:rPr>
  </w:style>
  <w:style w:type="paragraph" w:styleId="BalloonText">
    <w:name w:val="Balloon Text"/>
    <w:basedOn w:val="Normal"/>
    <w:link w:val="BalloonTextChar"/>
    <w:uiPriority w:val="99"/>
    <w:semiHidden/>
    <w:unhideWhenUsed/>
    <w:rsid w:val="0080140C"/>
    <w:rPr>
      <w:rFonts w:ascii="Tahoma" w:hAnsi="Tahoma" w:cs="Tahoma"/>
      <w:sz w:val="16"/>
      <w:szCs w:val="16"/>
    </w:rPr>
  </w:style>
  <w:style w:type="character" w:customStyle="1" w:styleId="BalloonTextChar">
    <w:name w:val="Balloon Text Char"/>
    <w:basedOn w:val="DefaultParagraphFont"/>
    <w:link w:val="BalloonText"/>
    <w:uiPriority w:val="99"/>
    <w:semiHidden/>
    <w:rsid w:val="0080140C"/>
    <w:rPr>
      <w:rFonts w:ascii="Tahoma" w:eastAsiaTheme="minorEastAsia" w:hAnsi="Tahoma" w:cs="Tahoma"/>
      <w:sz w:val="16"/>
      <w:szCs w:val="16"/>
    </w:rPr>
  </w:style>
  <w:style w:type="paragraph" w:styleId="ListParagraph">
    <w:name w:val="List Paragraph"/>
    <w:basedOn w:val="Normal"/>
    <w:uiPriority w:val="34"/>
    <w:qFormat/>
    <w:rsid w:val="0080140C"/>
    <w:pPr>
      <w:spacing w:before="120" w:after="120"/>
      <w:ind w:left="720"/>
      <w:contextualSpacing/>
    </w:pPr>
    <w:rPr>
      <w:rFonts w:eastAsiaTheme="minorHAnsi"/>
      <w:sz w:val="22"/>
      <w:lang w:val="en-GB" w:eastAsia="en-GB"/>
    </w:rPr>
  </w:style>
  <w:style w:type="paragraph" w:customStyle="1" w:styleId="Default">
    <w:name w:val="Default"/>
    <w:rsid w:val="0080140C"/>
    <w:pPr>
      <w:autoSpaceDE w:val="0"/>
      <w:autoSpaceDN w:val="0"/>
      <w:adjustRightInd w:val="0"/>
      <w:spacing w:after="0" w:line="240" w:lineRule="auto"/>
    </w:pPr>
    <w:rPr>
      <w:rFonts w:ascii="Calibri" w:hAnsi="Calibri" w:cs="Calibri"/>
      <w:color w:val="000000"/>
      <w:sz w:val="24"/>
      <w:szCs w:val="24"/>
      <w:lang w:val="en-AU"/>
    </w:rPr>
  </w:style>
  <w:style w:type="table" w:customStyle="1" w:styleId="GridTable1Light1">
    <w:name w:val="Grid Table 1 Light1"/>
    <w:basedOn w:val="TableNormal"/>
    <w:uiPriority w:val="46"/>
    <w:rsid w:val="0080140C"/>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33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oc.training@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Reed</dc:creator>
  <cp:lastModifiedBy>Mazzuco, Ana Carolina</cp:lastModifiedBy>
  <cp:revision>3</cp:revision>
  <dcterms:created xsi:type="dcterms:W3CDTF">2024-08-05T11:45:00Z</dcterms:created>
  <dcterms:modified xsi:type="dcterms:W3CDTF">2025-05-22T10:26:00Z</dcterms:modified>
</cp:coreProperties>
</file>